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media/image1.wmf" ContentType="image/x-wmf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bookmarkStart w:id="0" w:name="_GoBack"/>
      <w:bookmarkEnd w:id="0"/>
      <w:r>
        <w:rPr/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4.25pt;height:52.5pt;mso-wrap-distance-right:0pt" filled="f" o:ole="">
            <v:imagedata r:id="rId3" o:title=""/>
          </v:shape>
          <o:OLEObject Type="Embed" ProgID="" ShapeID="ole_rId2" DrawAspect="Content" ObjectID="_1738864525" r:id="rId2"/>
        </w:object>
      </w:r>
    </w:p>
    <w:p>
      <w:pPr>
        <w:pStyle w:val="Title"/>
        <w:jc w:val="left"/>
        <w:rPr>
          <w:i/>
          <w:i/>
          <w:sz w:val="28"/>
          <w:szCs w:val="28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127750" cy="571500"/>
                <wp:effectExtent l="635" t="635" r="635" b="63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92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-7.65pt;margin-top:2.5pt;width:482.45pt;height:44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user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>
      <w:pPr>
        <w:pStyle w:val="Title"/>
        <w:jc w:val="left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Title"/>
        <w:jc w:val="left"/>
        <w:rPr>
          <w:i/>
          <w:i/>
          <w:sz w:val="28"/>
          <w:szCs w:val="28"/>
        </w:rPr>
      </w:pPr>
      <w:r>
        <w:rPr>
          <w:i/>
          <w:sz w:val="28"/>
          <w:szCs w:val="28"/>
        </w:rP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127750" cy="520700"/>
                <wp:effectExtent l="635" t="635" r="635" b="635"/>
                <wp:wrapNone/>
                <wp:docPr id="3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92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rPr>
                                <w:b/>
                                <w:i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«Северо-Байкальский 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t" o:allowincell="f" style="position:absolute;margin-left:-7.65pt;margin-top:6.3pt;width:482.4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rPr>
                          <w:b/>
                          <w:i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«Северо-Байкальский 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left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Title"/>
        <w:jc w:val="left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Title"/>
        <w:jc w:val="left"/>
        <w:rPr>
          <w:i/>
          <w:i/>
          <w:sz w:val="28"/>
          <w:szCs w:val="28"/>
        </w:rPr>
      </w:pPr>
      <w:r>
        <w:rPr>
          <w:i/>
          <w:sz w:val="28"/>
          <w:szCs w:val="28"/>
        </w:rPr>
        <mc:AlternateContent>
          <mc:Choice Requires="wps">
            <w:drawing>
              <wp:anchor behindDoc="0" distT="19050" distB="19685" distL="19685" distR="1905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19685" t="19050" r="19050" b="19685"/>
                <wp:wrapNone/>
                <wp:docPr id="4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2.15pt" to="514.3pt,2.15pt" ID="Line 3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685" distL="19685" distR="19050" simplePos="0" locked="0" layoutInCell="1" allowOverlap="1" relativeHeight="5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19685" t="19050" r="19050" b="19685"/>
                <wp:wrapNone/>
                <wp:docPr id="5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9.15pt" to="514.3pt,9.15pt" ID="Line 4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 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11.11</w:t>
      </w:r>
      <w:r>
        <w:rPr>
          <w:b/>
          <w:bCs/>
          <w:sz w:val="28"/>
          <w:szCs w:val="28"/>
        </w:rPr>
        <w:t xml:space="preserve">.2025г.                                                                                                    № </w:t>
      </w:r>
      <w:r>
        <w:rPr>
          <w:b/>
          <w:bCs/>
          <w:sz w:val="28"/>
          <w:szCs w:val="28"/>
        </w:rPr>
        <w:t>222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п.</w:t>
      </w:r>
      <w:r>
        <w:rPr>
          <w:b/>
          <w:sz w:val="28"/>
          <w:szCs w:val="28"/>
        </w:rPr>
        <w:t xml:space="preserve"> Нижнеангарск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45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приложение к постановлению администрации МО «Северо – Байкальский район» </w:t>
      </w:r>
      <w:r>
        <w:rPr>
          <w:rFonts w:eastAsia="Calibri"/>
          <w:sz w:val="26"/>
          <w:szCs w:val="26"/>
          <w:lang w:eastAsia="en-US"/>
        </w:rPr>
        <w:t>от 26.10.2022г. № 218 «Об утверждении муниципальной программы муниципального образования «Северо-Байкальский район» «Развитие малого и среднего предпринимательства в Северо-Байкальском районе»</w:t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 w:right="-1"/>
        <w:jc w:val="both"/>
        <w:rPr>
          <w:sz w:val="26"/>
          <w:szCs w:val="26"/>
        </w:rPr>
      </w:pPr>
      <w:r>
        <w:rPr>
          <w:bCs/>
          <w:spacing w:val="-2"/>
          <w:sz w:val="26"/>
          <w:szCs w:val="26"/>
        </w:rPr>
        <w:t xml:space="preserve">    </w:t>
      </w:r>
      <w:r>
        <w:rPr>
          <w:bCs/>
          <w:spacing w:val="-2"/>
          <w:sz w:val="26"/>
          <w:szCs w:val="26"/>
        </w:rPr>
        <w:t>В соответствии с Решением Совета депутатов МО «Северо-Байкальский район» от 25.12.2024г. № 36-</w:t>
      </w:r>
      <w:r>
        <w:rPr>
          <w:bCs/>
          <w:spacing w:val="-2"/>
          <w:sz w:val="26"/>
          <w:szCs w:val="26"/>
          <w:lang w:val="en-US"/>
        </w:rPr>
        <w:t>VII</w:t>
      </w:r>
      <w:r>
        <w:rPr>
          <w:bCs/>
          <w:spacing w:val="-2"/>
          <w:sz w:val="26"/>
          <w:szCs w:val="26"/>
        </w:rPr>
        <w:t xml:space="preserve"> «О бюджете муниципального образования «Северо-Байкальский район» на 2025 год и на плановый период 2026 и 2027 годов» (в редакции решения сессии Совета депутатов муниципального образования «Северо-Байкальский район» Республики Бурятия от 20.08.2025г. № 102-VII),         </w:t>
      </w:r>
    </w:p>
    <w:p>
      <w:pPr>
        <w:pStyle w:val="Normal"/>
        <w:widowControl w:val="false"/>
        <w:ind w:firstLine="567" w:right="-1"/>
        <w:jc w:val="both"/>
        <w:rPr>
          <w:sz w:val="26"/>
          <w:szCs w:val="26"/>
        </w:rPr>
      </w:pPr>
      <w:r>
        <w:rPr>
          <w:bCs/>
          <w:spacing w:val="-2"/>
          <w:sz w:val="26"/>
          <w:szCs w:val="26"/>
        </w:rPr>
        <w:t xml:space="preserve"> </w:t>
      </w:r>
      <w:r>
        <w:rPr>
          <w:bCs/>
          <w:spacing w:val="-2"/>
          <w:sz w:val="26"/>
          <w:szCs w:val="26"/>
        </w:rPr>
        <w:t>п о с т а н о в л я ю:</w:t>
      </w:r>
    </w:p>
    <w:p>
      <w:pPr>
        <w:pStyle w:val="Normal"/>
        <w:ind w:firstLine="567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приложение к постановлению администрации МО «Северо-Байкальский район» от 26.10.2022г. № 218 </w:t>
      </w:r>
      <w:r>
        <w:rPr>
          <w:rFonts w:eastAsia="Calibri"/>
          <w:sz w:val="26"/>
          <w:szCs w:val="26"/>
          <w:lang w:eastAsia="en-US"/>
        </w:rPr>
        <w:t xml:space="preserve">«Об утверждении муниципальной программы муниципального образования «Северо-Байкальский район» «Развитие малого и среднего предпринимательства в Северо-Байкальском районе» </w:t>
      </w:r>
      <w:r>
        <w:rPr>
          <w:sz w:val="26"/>
          <w:szCs w:val="26"/>
        </w:rPr>
        <w:t>следующие изменения:</w:t>
      </w:r>
    </w:p>
    <w:p>
      <w:pPr>
        <w:pStyle w:val="Normal"/>
        <w:ind w:firstLine="567" w:right="0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приложение изложить в новой редакции, согласно приложению к настоящему постановлению.</w:t>
      </w:r>
    </w:p>
    <w:p>
      <w:pPr>
        <w:pStyle w:val="Normal"/>
        <w:ind w:firstLine="567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Контроль за исполнением настоящего постановления </w:t>
      </w:r>
      <w:r>
        <w:rPr>
          <w:sz w:val="26"/>
          <w:szCs w:val="26"/>
        </w:rPr>
        <w:t>возложить на заместителя руководителя Администрации МО «Северо-Байкальский район» по экономическим вопросам(А.Ю.Федорченко).</w:t>
      </w:r>
    </w:p>
    <w:p>
      <w:pPr>
        <w:pStyle w:val="Style27"/>
        <w:tabs>
          <w:tab w:val="clear" w:pos="708"/>
          <w:tab w:val="left" w:pos="851" w:leader="none"/>
        </w:tabs>
        <w:spacing w:lineRule="auto" w:line="240" w:before="0" w:after="0"/>
        <w:ind w:firstLine="567" w:left="0" w:right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</w:t>
      </w:r>
      <w:r>
        <w:rPr>
          <w:rFonts w:cs="Times New Roman" w:ascii="Times New Roman" w:hAnsi="Times New Roman"/>
          <w:iCs/>
          <w:sz w:val="26"/>
          <w:szCs w:val="26"/>
        </w:rPr>
        <w:t>Настоящее постановление вступает в силу со дня его официального опубликования (обнародования).</w:t>
      </w:r>
    </w:p>
    <w:p>
      <w:pPr>
        <w:pStyle w:val="Normal"/>
        <w:widowControl w:val="false"/>
        <w:ind w:firstLine="567" w:right="-1"/>
        <w:jc w:val="both"/>
        <w:rPr>
          <w:bCs/>
          <w:spacing w:val="-2"/>
          <w:sz w:val="26"/>
          <w:szCs w:val="26"/>
        </w:rPr>
      </w:pPr>
      <w:r>
        <w:rPr>
          <w:bCs/>
          <w:spacing w:val="-2"/>
          <w:sz w:val="26"/>
          <w:szCs w:val="26"/>
        </w:rPr>
      </w:r>
    </w:p>
    <w:p>
      <w:pPr>
        <w:pStyle w:val="Normal"/>
        <w:widowControl w:val="false"/>
        <w:ind w:firstLine="567"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Глава-Руководитель                                                   И.В.Пухарев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исп: Шинкаренко Екатерина Николаевна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Тел.:8/30130/47322</w:t>
      </w:r>
    </w:p>
    <w:p>
      <w:pPr>
        <w:pStyle w:val="Normal"/>
        <w:ind w:left="4253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>
      <w:pPr>
        <w:pStyle w:val="Normal"/>
        <w:ind w:left="425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к постановлению администрации</w:t>
      </w:r>
    </w:p>
    <w:p>
      <w:pPr>
        <w:pStyle w:val="Normal"/>
        <w:ind w:left="4253"/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>
      <w:pPr>
        <w:pStyle w:val="Normal"/>
        <w:widowControl w:val="false"/>
        <w:numPr>
          <w:ilvl w:val="0"/>
          <w:numId w:val="0"/>
        </w:numPr>
        <w:ind w:hanging="0" w:left="5812"/>
        <w:jc w:val="right"/>
        <w:outlineLvl w:val="2"/>
        <w:rPr>
          <w:sz w:val="20"/>
          <w:szCs w:val="20"/>
        </w:rPr>
      </w:pPr>
      <w:r>
        <w:rPr>
          <w:rFonts w:eastAsia="MS Mincho"/>
          <w:sz w:val="20"/>
          <w:szCs w:val="20"/>
          <w:lang w:eastAsia="ja-JP"/>
        </w:rPr>
        <w:t xml:space="preserve">от </w:t>
      </w:r>
      <w:r>
        <w:rPr>
          <w:rFonts w:eastAsia="MS Mincho"/>
          <w:sz w:val="20"/>
          <w:szCs w:val="20"/>
          <w:lang w:eastAsia="ja-JP"/>
        </w:rPr>
        <w:t>11</w:t>
      </w:r>
      <w:r>
        <w:rPr>
          <w:rFonts w:eastAsia="MS Mincho"/>
          <w:sz w:val="20"/>
          <w:szCs w:val="20"/>
          <w:lang w:eastAsia="ja-JP"/>
        </w:rPr>
        <w:t>.</w:t>
      </w:r>
      <w:r>
        <w:rPr>
          <w:rFonts w:eastAsia="MS Mincho"/>
          <w:sz w:val="20"/>
          <w:szCs w:val="20"/>
          <w:lang w:eastAsia="ja-JP"/>
        </w:rPr>
        <w:t>11</w:t>
      </w:r>
      <w:r>
        <w:rPr>
          <w:rFonts w:eastAsia="MS Mincho"/>
          <w:sz w:val="20"/>
          <w:szCs w:val="20"/>
          <w:lang w:eastAsia="ja-JP"/>
        </w:rPr>
        <w:t xml:space="preserve">.2025г. № </w:t>
      </w:r>
      <w:r>
        <w:rPr>
          <w:rFonts w:eastAsia="MS Mincho"/>
          <w:sz w:val="20"/>
          <w:szCs w:val="20"/>
          <w:lang w:eastAsia="ja-JP"/>
        </w:rPr>
        <w:t>222</w:t>
      </w:r>
      <w:r>
        <w:rPr>
          <w:rFonts w:eastAsia="MS Mincho"/>
          <w:sz w:val="20"/>
          <w:szCs w:val="20"/>
          <w:lang w:eastAsia="ja-JP"/>
        </w:rPr>
        <w:t xml:space="preserve">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3969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3969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Муниципальная программа муниципального образования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3969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«Северо-Байкальский район»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3969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«Развитие малого и среднего предпринимательства в Северо-Байкальском районе»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3969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3969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ПАСПОРТ</w:t>
      </w:r>
    </w:p>
    <w:tbl>
      <w:tblPr>
        <w:tblW w:w="104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8330"/>
      </w:tblGrid>
      <w:tr>
        <w:trPr>
          <w:trHeight w:val="365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sz w:val="20"/>
                <w:szCs w:val="20"/>
              </w:rPr>
              <w:t>Развитие малого и среднего предпринимательства в Северо-Байкальском районе</w:t>
            </w:r>
          </w:p>
        </w:tc>
      </w:tr>
      <w:tr>
        <w:trPr>
          <w:trHeight w:val="634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Arial Unicode MS"/>
                <w:color w:val="000000"/>
                <w:sz w:val="20"/>
                <w:szCs w:val="20"/>
              </w:rPr>
              <w:t>Отдел экономики Администрации МО «Северо-Байкальский район».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убъекты малого и среднего предпринимательства Северо-Байкальского района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Координационный совет по развитию малого и среднего предпринимательства при администрации МО «Северо-Байкальский район»;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Цели  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Содействие развитию малого и среднего предпринимательства, самозанятых граждан, а так же формирование инвестиционного климата  и повышение инвестиционной привлекательности МО «Северо-Байкальский  район».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Задачи 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Обеспечение доступа субъектов малого предпринимательства к финансовым, информационным ресурсам, снижение административных барьеров при создании и ведении бизнеса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Целевые индикаторы (показатели)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uppressLineNumbers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 Количество зарегистрированных субъектов малого и среднего предпринимательства – ед.;</w:t>
            </w:r>
          </w:p>
          <w:p>
            <w:pPr>
              <w:pStyle w:val="ConsPlusCell"/>
              <w:suppressLineNumbers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 Количество СМП, получивших субсидии, в связи с осуществлением регулярных перевозок пассажиров и багажа автомобильным транспортом по муниципальным маршрутам на территории МО «Северо-Байкальский район» – ед.;</w:t>
            </w:r>
          </w:p>
          <w:p>
            <w:pPr>
              <w:pStyle w:val="ConsPlusCell"/>
              <w:suppressLineNumbers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 Количество проведенных заседаний Координационного совета по развитию МСП – ед.;</w:t>
            </w:r>
          </w:p>
          <w:p>
            <w:pPr>
              <w:pStyle w:val="ConsPlusCell"/>
              <w:suppressLineNumbers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 Количество молодежи, вовлеченной в предпринимательскую деятельность – ед.;</w:t>
            </w:r>
          </w:p>
          <w:p>
            <w:pPr>
              <w:pStyle w:val="Normal"/>
              <w:shd w:val="clear" w:fill="FFFFFF"/>
              <w:jc w:val="both"/>
              <w:rPr/>
            </w:pPr>
            <w:r>
              <w:rPr>
                <w:sz w:val="20"/>
                <w:szCs w:val="20"/>
              </w:rPr>
              <w:t>5. Количество субъектов МСП и самозанятых получивших образовательную, информационную и консультационную поддержку – ед.;</w:t>
            </w:r>
          </w:p>
          <w:p>
            <w:pPr>
              <w:pStyle w:val="Normal"/>
              <w:shd w:val="clear" w:fill="FFFFFF"/>
              <w:jc w:val="both"/>
              <w:rPr/>
            </w:pPr>
            <w:r>
              <w:rPr>
                <w:color w:val="000000"/>
                <w:spacing w:val="2"/>
                <w:sz w:val="20"/>
                <w:szCs w:val="20"/>
                <w:shd w:fill="FFFFFF" w:val="clear"/>
              </w:rPr>
              <w:t>6. количество размещенных в сети Интернет актуальных информационных материалов для субъектов малого и среднего предпринимательства – ед.</w:t>
            </w:r>
          </w:p>
        </w:tc>
      </w:tr>
      <w:tr>
        <w:trPr>
          <w:trHeight w:val="653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2022-2027гг.</w:t>
            </w:r>
          </w:p>
        </w:tc>
      </w:tr>
      <w:tr>
        <w:trPr>
          <w:trHeight w:val="77" w:hRule="atLeast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Объемы и источники финансирования программы по годам реализации (тыс. руб.)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 финансирования программы (в  тыс.руб.):1166,0</w:t>
            </w:r>
          </w:p>
          <w:tbl>
            <w:tblPr>
              <w:tblW w:w="81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5"/>
              <w:gridCol w:w="1710"/>
              <w:gridCol w:w="876"/>
              <w:gridCol w:w="1011"/>
              <w:gridCol w:w="1131"/>
              <w:gridCol w:w="1254"/>
              <w:gridCol w:w="1054"/>
            </w:tblGrid>
            <w:tr>
              <w:trPr/>
              <w:tc>
                <w:tcPr>
                  <w:tcW w:w="27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Всего*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МБ *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ВИ</w:t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766,0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403,5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362,5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766,0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403,5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362,5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40" w:leader="none"/>
                    </w:tabs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40" w:leader="none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40" w:leader="none"/>
                    </w:tabs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40" w:leader="none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/>
              <w:tc>
                <w:tcPr>
                  <w:tcW w:w="1065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40" w:leader="none"/>
                    </w:tabs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/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065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40" w:leader="none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/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775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40" w:leader="none"/>
                    </w:tabs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ab/>
                    <w:t>Итого по плану программы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1766,0</w:t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403,5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1362,5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>
              <w:trPr>
                <w:trHeight w:val="958" w:hRule="atLeast"/>
              </w:trPr>
              <w:tc>
                <w:tcPr>
                  <w:tcW w:w="27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465" w:leader="none"/>
                    </w:tabs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Итого по утвержденному .финансированию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1166,0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403,5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762,5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>
            <w:pPr>
              <w:pStyle w:val="Normal"/>
              <w:ind w:firstLine="425"/>
              <w:jc w:val="both"/>
              <w:rPr>
                <w:i/>
                <w:i/>
                <w:sz w:val="20"/>
                <w:szCs w:val="20"/>
                <w:shd w:fill="00FF00" w:val="clear"/>
              </w:rPr>
            </w:pPr>
            <w:r>
              <w:rPr>
                <w:i/>
                <w:sz w:val="20"/>
                <w:szCs w:val="20"/>
                <w:shd w:fill="00FF00" w:val="clear"/>
              </w:rPr>
            </w:r>
          </w:p>
        </w:tc>
      </w:tr>
    </w:tbl>
    <w:p>
      <w:pPr>
        <w:pStyle w:val="Normal"/>
        <w:tabs>
          <w:tab w:val="clear" w:pos="708"/>
          <w:tab w:val="left" w:pos="7797" w:leader="none"/>
        </w:tabs>
        <w:ind w:right="-1"/>
        <w:jc w:val="center"/>
        <w:rPr>
          <w:rFonts w:eastAsia="Arial"/>
          <w:b/>
          <w:bCs/>
          <w:w w:val="110"/>
          <w:sz w:val="20"/>
          <w:szCs w:val="20"/>
        </w:rPr>
      </w:pPr>
      <w:r>
        <w:rPr>
          <w:rFonts w:eastAsia="Arial"/>
          <w:b/>
          <w:bCs/>
          <w:w w:val="110"/>
          <w:sz w:val="20"/>
          <w:szCs w:val="20"/>
        </w:rPr>
      </w:r>
    </w:p>
    <w:p>
      <w:pPr>
        <w:pStyle w:val="Normal"/>
        <w:tabs>
          <w:tab w:val="clear" w:pos="708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8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8"/>
          <w:tab w:val="left" w:pos="7797" w:leader="none"/>
        </w:tabs>
        <w:ind w:right="-1"/>
        <w:jc w:val="center"/>
        <w:rPr>
          <w:rFonts w:eastAsia="Arial"/>
          <w:b/>
          <w:bCs/>
          <w:w w:val="110"/>
          <w:sz w:val="26"/>
          <w:szCs w:val="26"/>
        </w:rPr>
      </w:pPr>
      <w:r>
        <w:rPr>
          <w:rFonts w:eastAsia="Arial"/>
          <w:b/>
          <w:bCs/>
          <w:w w:val="110"/>
          <w:sz w:val="26"/>
          <w:szCs w:val="26"/>
        </w:rPr>
        <w:t xml:space="preserve">Раздел 1. Характеристика текущего состояния, основные проблемы, анализ основных показателей </w:t>
      </w:r>
    </w:p>
    <w:p>
      <w:pPr>
        <w:pStyle w:val="ConsPlusNormal1"/>
        <w:ind w:firstLine="567" w:right="-1"/>
        <w:jc w:val="both"/>
        <w:rPr>
          <w:sz w:val="26"/>
          <w:szCs w:val="26"/>
        </w:rPr>
      </w:pPr>
      <w:r>
        <w:rPr>
          <w:sz w:val="26"/>
          <w:szCs w:val="26"/>
        </w:rPr>
        <w:t>Малое и среднее предпринимательство (далее по тексту – МСП) является на сегодня неотъемлемой частью социального-экономического развития территории, без которого не может эффективно развиваться экономика. МСП способствует насыщению товарного рынка конкурентоспособной продукцией и услугами, повышению занятости населения путем сохранения и создания новых рабочих мест, внедрению новых форм организации производства, услуг и сервиса, продвижению товаров и услуг к потребителю.</w:t>
      </w:r>
    </w:p>
    <w:p>
      <w:pPr>
        <w:pStyle w:val="ConsPlusNormal1"/>
        <w:ind w:firstLine="567" w:right="-1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программно-целевого метода для решения проблем развития малого и среднего предпринимательства является целесообразным, поскольку данные проблемы носят комплексный характер, а их решение окажет существенное положительное влияние на социальное благополучие общества, экономическое развитие и рост производства.</w:t>
      </w:r>
    </w:p>
    <w:p>
      <w:pPr>
        <w:pStyle w:val="ConsPlusNormal1"/>
        <w:ind w:firstLine="567" w:right="-1"/>
        <w:jc w:val="both"/>
        <w:rPr>
          <w:sz w:val="26"/>
          <w:szCs w:val="26"/>
        </w:rPr>
      </w:pPr>
      <w:r>
        <w:rPr>
          <w:sz w:val="26"/>
          <w:szCs w:val="26"/>
        </w:rPr>
        <w:t>Одним из показателей, характеризующих развитие МСП, является численность и структура малого бизнеса.</w:t>
      </w:r>
    </w:p>
    <w:p>
      <w:pPr>
        <w:pStyle w:val="ConsPlusNormal1"/>
        <w:ind w:firstLine="567" w:right="-1"/>
        <w:jc w:val="both"/>
        <w:rPr/>
      </w:pPr>
      <w:r>
        <w:rPr>
          <w:rStyle w:val="Strong"/>
          <w:b w:val="false"/>
          <w:sz w:val="26"/>
          <w:szCs w:val="26"/>
          <w:shd w:fill="FFFFFF" w:val="clear"/>
        </w:rPr>
        <w:t>Согласно данным реестра субъектов малого и среднего предпринимательства УФНС по Республике Бурятия по состоянию на 10.01.2025 г. в Северо-Байкальском районе зарегистрировано 64 организации и 202 индивидуальных предпринимателя. Самозанятых оценочно составило 350 человек</w:t>
      </w:r>
      <w:r>
        <w:rPr>
          <w:sz w:val="26"/>
          <w:szCs w:val="26"/>
        </w:rPr>
        <w:t xml:space="preserve">, что выше прошлого года на 14 субъектов.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</w:rPr>
        <w:t>Оборот отгруженных товаров и выполненных работ силами субъектов малого предпринимательства всех видов деятельности за 2024 год  составил 1606,6 млн. руб.</w:t>
      </w:r>
    </w:p>
    <w:p>
      <w:pPr>
        <w:pStyle w:val="ConsPlusNormal1"/>
        <w:ind w:firstLine="567" w:right="-1"/>
        <w:jc w:val="both"/>
        <w:rPr>
          <w:sz w:val="26"/>
          <w:szCs w:val="26"/>
        </w:rPr>
      </w:pPr>
      <w:r>
        <w:rPr>
          <w:sz w:val="26"/>
          <w:szCs w:val="26"/>
        </w:rPr>
        <w:t>В малом бизнесе работает 788 человек.В настоящее время малые предприятия осуществляют деятельность во всех отраслях экономики Северо-Байкальского района. С каждым годом вклад малого бизнеса в социально-экономическое развитие района становится более весомым. Малое предпринимательство обеспечивает решение проблем занятости населения, насыщения рынка разнообразными товарами и услугами путем создания новых рабочих мест.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Наибольший удельный вес в общей структуре МСП занимает оптово-розничная торговля (45,6%). Далее следуют:  </w:t>
      </w:r>
      <w:r>
        <w:rPr>
          <w:bCs/>
          <w:sz w:val="26"/>
          <w:szCs w:val="26"/>
        </w:rPr>
        <w:t>транспортировка и хранение (11,5%), сельское, лесное хозяйство, охота, рыболовство и рыбоводство (10,3%),</w:t>
      </w:r>
      <w:r>
        <w:rPr>
          <w:sz w:val="26"/>
          <w:szCs w:val="26"/>
        </w:rPr>
        <w:t xml:space="preserve"> деятельность гостиниц и общественного питания (5,6%),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 xml:space="preserve">строительства (4%),  </w:t>
      </w:r>
      <w:r>
        <w:rPr>
          <w:bCs/>
          <w:sz w:val="26"/>
          <w:szCs w:val="26"/>
        </w:rPr>
        <w:t>обеспечение электрической энергией, газом и паром</w:t>
      </w:r>
      <w:r>
        <w:rPr>
          <w:sz w:val="26"/>
          <w:szCs w:val="26"/>
        </w:rPr>
        <w:t xml:space="preserve"> (2,4%), обрабатывающие производства (2%),</w:t>
      </w:r>
      <w:r>
        <w:rPr>
          <w:rFonts w:eastAsia="Times New Roman"/>
          <w:bCs/>
          <w:sz w:val="26"/>
          <w:szCs w:val="26"/>
          <w:lang w:eastAsia="ru-RU"/>
        </w:rPr>
        <w:t xml:space="preserve"> водоснабжение; водоотведение, организация сбора и утилизации отходов (1,9%), сферы транспорта и связи (1,2%) </w:t>
      </w:r>
      <w:r>
        <w:rPr>
          <w:bCs/>
          <w:sz w:val="26"/>
          <w:szCs w:val="26"/>
        </w:rPr>
        <w:t>добыча полезных ископаемых (0,8%)</w:t>
      </w:r>
      <w:r>
        <w:rPr>
          <w:sz w:val="26"/>
          <w:szCs w:val="26"/>
        </w:rPr>
        <w:t xml:space="preserve">  и другие (14,7%).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Произведено пищевой продукции в действующих ценах на сумму 32,7 млн. руб., что ниже уровня 2023 года на 3,5%.  Произошло снижение объемов выпуска продукции в связи с обеспечением х/б продукцией п. Янчукан пекарней п.Таксимо, снижением объемов выпуска продукции в пекарне Новый Уоян, из-за поломки печи, а также снижением выпуска рыбопродукции АО «Нижнеангарский рыбозавод».</w:t>
      </w:r>
      <w:r>
        <w:rPr>
          <w:sz w:val="26"/>
          <w:szCs w:val="26"/>
        </w:rPr>
        <w:t xml:space="preserve">Важнейшей сферой экономики и сектора МСП Северо-Байкальского района является потребительский рынок, который выполняет большую роль в создании рабочих мест За отчетный период в действующих ценах реализовано различных товаров в объеме 1072,0 млн. руб., что выше уровня прошлого года на 1%. Оборот общественного питания в действующих ценах составил 43,2 млн. руб., что выше уровня 2022 года на 6%.      В целях популяризации предпринимательской деятельности с 2020 года введен специальный налоговый режим для самозанятых граждан. Действие закона распространяется на граждан, которые получают доход от своей деятельности, но при этом не имеют наемных работников и сами таковыми не являются. 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Постановлению Правительства Республики Бурятия № 471 оказана помощь 40 гражданам  на 6 млн. 650 тыс. руб.: открытие собственного дела 11 чел.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целью обеспечения населения качественными товарами, производимыми местными товаропроизводителями, по доступным ценам организовываются ярмарки.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поддержка предпринимателей осуществляется посредством опубликования статей в новостной ленте на официальном сайте администрации МО «Северо-Байкальский район», в сетевом и печатном издании «Байкальский меридиан», через официальные страницы социальных сетей в «Контакте»  «Одноклассники».  Кроме этого, информация доводится до СМСМ через электронную почту и группы мессенджеров.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создания площадки «живого» взаимодействия между предпринимателями создан Координационный совет по развитию МСП при Администрации МО «Северо-Байкальский район».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реализации потенциала молодежного предпринимательства обозначены приоритеты: вовлечение молодежи в социальную практику и его информирование о потенциальных возможностях развития, развитие созидательной активности молодежи. При администрации района создан в 2021 году отдел по молодежной политике. 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 мероприятиям, способствующим развитию молодежного предпринимательства, следует отнести: отбор перспективных предпринимательских идей для организации молодежного предпринимательства; организация профильного обучения для приобретения молодыми людьми навыков ведения бизнеса.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программных мероприятий, а также объединение усилий организаций, образующих районную инфраструктуру поддержки МСП, позволит частично устранить факторы, препятствующие развитию предпринимательства, и значительно усилить поддержку бизнеса со стороны органов местного самоуправления Северо-Байкальского района.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Основными проблемами развития сферы реализации Программы являются: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сфере малого и среднего предпринимательства: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территориальная отдалённость, затрудняющая воспользоваться формами государственной поддержки, которую предоставляют республиканские структуры.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недостаток собственных финансовых ресурсов;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высокие издержки при "вхождении на рынок" для начинающих субъектов малого и среднего предпринимательства, в том числе высокая арендная плата за нежилые помещения;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недостаток квалифицированных кадров;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сфере торговли, общественного питания и бытовых услуг: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недостаточный уровень инвестиционной активности в сфере торговли в части финансирования строительства и реконструкции торговой инфраструктуры, в том числе торговых объектов; т. Район расположен в ЦЭЗ  при строительстве и реконструкции объектов требуется проведение  экологической  экспертизы. Высокие затраты на ее проведение сдерживают развитие инфраструктуры.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отсутствие собственных оборотных средств;</w:t>
      </w:r>
    </w:p>
    <w:p>
      <w:pPr>
        <w:pStyle w:val="ConsPlusNormal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 xml:space="preserve"> дефицит   квалифицированных   кадров (связан  с  невысоким  уровнем   оплаты  труда  в торговле,  общественном  питании).</w:t>
      </w:r>
    </w:p>
    <w:p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2022 году оказана финансовая поддержка ООО «Районные маршруты»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субсидии на возмещение фактически понесенных затрат при осуществлении деятельности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Соглашение № 7 от 24.06.2022 г.- 100000 рублей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Соглашение  от 14.12.2022  на сумму 250000 рублей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Решение 325 от 28.04.2022 О внесении изменений в решение Совета депутатов муниципального образования «Северо-Байкальский район» от 29.12.2021 № 281-VI «О бюджете муниципального образования «Северо-Байкальский район» на 2022 год и на плановый период 2023 и 2024 годов</w:t>
      </w:r>
      <w:r>
        <w:rPr>
          <w:b/>
          <w:sz w:val="26"/>
          <w:szCs w:val="26"/>
        </w:rPr>
        <w:t>»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Calibri"/>
          <w:sz w:val="26"/>
          <w:szCs w:val="26"/>
        </w:rPr>
        <w:t xml:space="preserve">Субсидия на возмещение перевозчикам части недополученных доходов, возникающих в процессе перевозки пассажиров и багажа  на муниципальных маршрутах автомобильного транспорта  в условиях внешнего санкционного давления в период с 15 апреля 2022 года по 15 июля 2022 года  предоставлена ООО Маршрут-Сервис  - РБ. 178480,  МБ 5520;  ООО «Районные маршруты – РБ  225040,0,   6960,0 рублей. 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fill="FFFFFF" w:val="clear"/>
        </w:rPr>
        <w:t>В 2023 году оказана финансовая поддержка ООО «Районные маршруты»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fill="FFFFFF" w:val="clear"/>
        </w:rPr>
        <w:t>- предоставление субсидии на возмещение фактически понесенных затрат при осуществлении деятельности (соглашение № 7 от 24.06.2022 г.- 400000,0 рублей).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fill="FFFFFF" w:val="clear"/>
        </w:rPr>
        <w:t>В 2024 году субсидии по поддержке субъектов МСП не выдавались,в связи с отсутствием обращений от индивидуальных предпринимателей и организаций МСП. На постоянной основе проводится консультативная поддержка лчного характера,а так же с помошью обратной связи</w:t>
      </w:r>
    </w:p>
    <w:p>
      <w:pPr>
        <w:pStyle w:val="ConsPlusNormal1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right="-1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2. Основные цели и задачи программы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программы является: содействие развитию малого и среднего предпринимательства, самозанятых граждан, а так же формирование инвестиционного климата  и повышение инвестиционной привлекательности МО «Северо-Байкальский  район».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реализации поставленной цели необходимо решение следующих задач:</w:t>
      </w:r>
    </w:p>
    <w:p>
      <w:pPr>
        <w:pStyle w:val="Normal"/>
        <w:tabs>
          <w:tab w:val="clear" w:pos="708"/>
          <w:tab w:val="left" w:pos="414" w:leader="none"/>
          <w:tab w:val="left" w:pos="993" w:leader="none"/>
        </w:tabs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 Обеспечение доступа субъектов малого предпринимательства к финансовым, информационным ресурсам, снижение административных барьеров при создании и ведении бизнеса.</w:t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Раздел 3. Ожидаемые результаты реализации муниципальной программы</w:t>
      </w:r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Ожидаемые результаты муниципальной программы отражены в таблице 1. 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Раздел 4. Целевые показатели</w:t>
      </w:r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Целевые показатели муниципальной программы отражены в таблице 2.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порядке расчета значений целевых индикаторов отражены в таблице 3.</w:t>
      </w:r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показателях (индикаторах) Программы и их значениях предусматривают возможность корректировки в случаях воздействия социально-экономических факторов, существенно влияющих на достижение цели Программы.</w:t>
      </w:r>
    </w:p>
    <w:p>
      <w:pPr>
        <w:pStyle w:val="Normal"/>
        <w:widowControl w:val="fals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414" w:leader="none"/>
          <w:tab w:val="left" w:pos="993" w:leader="none"/>
        </w:tabs>
        <w:ind w:left="399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Раздел 5</w:t>
      </w:r>
      <w:r>
        <w:rPr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</w:rPr>
        <w:t>Срок реализации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ind w:firstLine="567"/>
        <w:rPr>
          <w:sz w:val="26"/>
          <w:szCs w:val="26"/>
        </w:rPr>
      </w:pPr>
      <w:r>
        <w:rPr>
          <w:color w:val="000000"/>
          <w:sz w:val="26"/>
          <w:szCs w:val="26"/>
        </w:rPr>
        <w:t>Срок реализации программы устанавливается  на 2022– 2028годы.</w:t>
      </w:r>
    </w:p>
    <w:p>
      <w:pPr>
        <w:pStyle w:val="Normal"/>
        <w:tabs>
          <w:tab w:val="clear" w:pos="708"/>
          <w:tab w:val="left" w:pos="414" w:leader="none"/>
          <w:tab w:val="left" w:pos="993" w:leader="none"/>
        </w:tabs>
        <w:ind w:left="39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Раздел 6. Перечень мероприятий и ресурсное обеспечение подпрограммы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Перечень мероприятий программы отражен в таблице 4, ресурсное обеспечение программы отражено в таблице 5.</w:t>
      </w:r>
    </w:p>
    <w:p>
      <w:pPr>
        <w:pStyle w:val="Normal"/>
        <w:tabs>
          <w:tab w:val="clear" w:pos="708"/>
          <w:tab w:val="left" w:pos="414" w:leader="none"/>
          <w:tab w:val="left" w:pos="993" w:leader="none"/>
        </w:tabs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Раздел 7. Сравнительная таблица целевых показателей на текущий период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Сравнительная таблица целевых показателей на текущий период отражена в таблице 6.</w:t>
      </w:r>
    </w:p>
    <w:p>
      <w:pPr>
        <w:pStyle w:val="Normal"/>
        <w:tabs>
          <w:tab w:val="clear" w:pos="708"/>
          <w:tab w:val="left" w:pos="414" w:leader="none"/>
          <w:tab w:val="left" w:pos="993" w:leader="none"/>
        </w:tabs>
        <w:ind w:left="39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ind w:right="181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Раздел 8. Основные меры правового регулирования муниципальной     программы и анализ рисков реализации программы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Основными видами рисков по источникам возникновения и характеру влияния на процесс и результаты </w:t>
      </w:r>
      <w:r>
        <w:rPr>
          <w:sz w:val="26"/>
          <w:szCs w:val="26"/>
        </w:rPr>
        <w:t>реализации Муниципальной программы являются: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>- экономические риски, которые могут привести к снижению объема привлекаемых средств.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</w:t>
      </w:r>
      <w:r>
        <w:rPr>
          <w:bCs/>
          <w:sz w:val="26"/>
          <w:szCs w:val="26"/>
        </w:rPr>
        <w:t>общих мер</w:t>
      </w:r>
      <w:r>
        <w:rPr>
          <w:sz w:val="26"/>
          <w:szCs w:val="26"/>
        </w:rPr>
        <w:t>: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>
      <w:pPr>
        <w:pStyle w:val="Normal"/>
        <w:ind w:firstLine="567" w:right="181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меры правового регулирования муниципальной программы и анализ рисков реализации программы отражены в таблице 7.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196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ab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Таблица 1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Ожидаемые результаты муниципальной программы 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tbl>
      <w:tblPr>
        <w:tblW w:w="10663" w:type="dxa"/>
        <w:jc w:val="left"/>
        <w:tblInd w:w="1900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839"/>
        <w:gridCol w:w="2675"/>
        <w:gridCol w:w="2090"/>
        <w:gridCol w:w="1512"/>
        <w:gridCol w:w="1123"/>
        <w:gridCol w:w="2254"/>
        <w:gridCol w:w="170"/>
      </w:tblGrid>
      <w:tr>
        <w:trPr>
          <w:trHeight w:val="73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center"/>
              <w:rPr>
                <w:b/>
              </w:rPr>
            </w:pPr>
            <w:r>
              <w:rPr>
                <w:b/>
              </w:rPr>
              <w:t>N п/п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184" w:leader="none"/>
                <w:tab w:val="left" w:pos="284" w:leader="none"/>
              </w:tabs>
              <w:ind w:firstLine="42"/>
              <w:jc w:val="center"/>
              <w:rPr>
                <w:b/>
              </w:rPr>
            </w:pPr>
            <w:r>
              <w:rPr>
                <w:b/>
              </w:rPr>
              <w:t>Решаемые проблемы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42"/>
              <w:jc w:val="center"/>
              <w:rPr>
                <w:b/>
              </w:rPr>
            </w:pPr>
            <w:r>
              <w:rPr>
                <w:b/>
              </w:rPr>
              <w:t>Ожидаемые результаты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67"/>
              <w:jc w:val="center"/>
              <w:rPr>
                <w:b/>
              </w:rPr>
            </w:pPr>
            <w:r>
              <w:rPr>
                <w:b/>
              </w:rPr>
              <w:t>Сроки достижения результатов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67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  <w:br/>
              <w:t>исполнитель</w:t>
            </w:r>
          </w:p>
        </w:tc>
        <w:tc>
          <w:tcPr>
            <w:tcW w:w="17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06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>Цель подпрограммы: Поддержка и развитие малого предпринимательства</w:t>
            </w:r>
          </w:p>
        </w:tc>
      </w:tr>
      <w:tr>
        <w:trPr>
          <w:trHeight w:val="199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  <w:t>1.</w:t>
            </w:r>
          </w:p>
        </w:tc>
        <w:tc>
          <w:tcPr>
            <w:tcW w:w="2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>
                <w:bCs/>
              </w:rPr>
              <w:t>Обеспечение доступа субъектов малого предпринимательства</w:t>
            </w:r>
            <w:r>
              <w:rPr/>
              <w:t xml:space="preserve"> к </w:t>
            </w:r>
            <w:r>
              <w:rPr>
                <w:bCs/>
              </w:rPr>
              <w:t>финансовым, информационным ресурсам, снижение административных барьеров при создании и ведении бизнеса</w:t>
            </w: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  <w:t>Недостаток собственных финансовых ресурсов и затрудненный доступ к разным источникам финансирования;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  <w:t>высокий уровень налоговой нагрузки;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  <w:t>отсутствие системы сбыта, неэффективная маркетинговая политика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  <w:t>Рост количества МСП, финансовая поддержка наиболее уязвимых направлений предпринимательства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  <w:t>2022 –2028 г.г.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  <w:t>Отдел экономики администрации МО «Северо-Байкальский район»</w:t>
            </w:r>
          </w:p>
        </w:tc>
        <w:tc>
          <w:tcPr>
            <w:tcW w:w="17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26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2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13620" w:leader="none"/>
        </w:tabs>
        <w:ind w:firstLine="567"/>
        <w:rPr/>
      </w:pPr>
      <w:r>
        <w:rPr/>
        <w:tab/>
        <w:tab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Таблица 2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center"/>
        <w:rPr>
          <w:b/>
          <w:sz w:val="22"/>
          <w:szCs w:val="22"/>
        </w:rPr>
      </w:pPr>
      <w:r>
        <w:rPr>
          <w:sz w:val="22"/>
          <w:szCs w:val="22"/>
        </w:rPr>
        <w:t>Целевые показатели муниципальной программы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tbl>
      <w:tblPr>
        <w:tblW w:w="16405" w:type="dxa"/>
        <w:jc w:val="left"/>
        <w:tblInd w:w="-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90"/>
        <w:gridCol w:w="2792"/>
        <w:gridCol w:w="494"/>
        <w:gridCol w:w="1151"/>
        <w:gridCol w:w="1049"/>
        <w:gridCol w:w="520"/>
        <w:gridCol w:w="649"/>
        <w:gridCol w:w="620"/>
        <w:gridCol w:w="685"/>
        <w:gridCol w:w="684"/>
        <w:gridCol w:w="861"/>
        <w:gridCol w:w="1101"/>
        <w:gridCol w:w="2917"/>
        <w:gridCol w:w="1648"/>
        <w:gridCol w:w="471"/>
        <w:gridCol w:w="473"/>
      </w:tblGrid>
      <w:tr>
        <w:trPr>
          <w:trHeight w:val="520" w:hRule="atLeast"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 (индикатора)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 изм.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Необходимое направление изменений (</w:t>
            </w:r>
            <w:r>
              <w:rPr>
                <w:rFonts w:cs="Times New Roman" w:ascii="Times New Roman" w:hAnsi="Times New Roman"/>
                <w:lang w:val="en-US"/>
              </w:rPr>
              <w:t>&gt;,&lt;,0)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Отчетный год (фактически достигнутое значение)</w:t>
            </w:r>
          </w:p>
        </w:tc>
        <w:tc>
          <w:tcPr>
            <w:tcW w:w="4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Плановые значения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Темп прироста (%)</w:t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2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648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3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9" w:hRule="atLeast"/>
        </w:trPr>
        <w:tc>
          <w:tcPr>
            <w:tcW w:w="8934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" w:cs="Arial"/>
                <w:sz w:val="20"/>
                <w:szCs w:val="20"/>
                <w:lang w:eastAsia="ar-SA"/>
              </w:rPr>
            </w:pPr>
            <w:r>
              <w:rPr>
                <w:rFonts w:eastAsia="Arial" w:cs="Arial"/>
                <w:sz w:val="20"/>
                <w:szCs w:val="20"/>
                <w:lang w:eastAsia="ar-SA"/>
              </w:rPr>
              <w:t>Цель: Содействие развитию малого и среднего предпринимательства, самозанятых граждан, а так же формирование инвестиционного климата  и повышение инвестиционной привлекательности МО «Северо-Байкальский  район».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" w:cs="Arial"/>
                <w:sz w:val="20"/>
                <w:szCs w:val="20"/>
                <w:lang w:eastAsia="ar-SA"/>
              </w:rPr>
            </w:pPr>
            <w:r>
              <w:rPr>
                <w:rFonts w:eastAsia="Arial" w:cs="Arial"/>
                <w:sz w:val="20"/>
                <w:szCs w:val="20"/>
                <w:lang w:eastAsia="ar-SA"/>
              </w:rPr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" w:cs="Arial"/>
                <w:sz w:val="20"/>
                <w:szCs w:val="20"/>
                <w:lang w:eastAsia="ar-SA"/>
              </w:rPr>
            </w:pPr>
            <w:r>
              <w:rPr>
                <w:rFonts w:eastAsia="Arial" w:cs="Arial"/>
                <w:sz w:val="20"/>
                <w:szCs w:val="20"/>
                <w:lang w:eastAsia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" w:cs="Arial"/>
                <w:sz w:val="20"/>
                <w:szCs w:val="20"/>
                <w:lang w:eastAsia="ar-SA"/>
              </w:rPr>
            </w:pPr>
            <w:r>
              <w:rPr>
                <w:rFonts w:eastAsia="Arial" w:cs="Arial"/>
                <w:sz w:val="20"/>
                <w:szCs w:val="20"/>
                <w:lang w:eastAsia="ar-SA"/>
              </w:rPr>
            </w:r>
          </w:p>
        </w:tc>
        <w:tc>
          <w:tcPr>
            <w:tcW w:w="1648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3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934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1.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Развитие инфраструктуры поддержки малого и среднего предпринимательства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934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2.  Обеспечение доступа субъектов малого предпринимательства к финансовым, информационным ресурсам, снижение административных барьеров при создании и ведении бизнеса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934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797" w:leader="none"/>
              </w:tabs>
              <w:ind w:right="-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Целевые индикаторы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797" w:leader="none"/>
              </w:tabs>
              <w:ind w:right="-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797" w:leader="none"/>
              </w:tabs>
              <w:ind w:right="-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797" w:leader="none"/>
              </w:tabs>
              <w:ind w:right="-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субъектов малого и среднего предпринимательства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5,4%</w:t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СМП, получивших субсидии, в связи с осуществлением регулярных перевозок пассажиров и багажа автомобильным транспортом по муниципальным маршрутам на территории Северо-Байкальского района в условиях сокращения пассажиропотока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Координационного совета по развитию МСП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молодежи, вовлеченной в предпринимательскую деятельность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bidi w:val="0"/>
              <w:spacing w:before="0" w:after="0"/>
              <w:ind w:hanging="0" w:left="454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bidi w:val="0"/>
              <w:spacing w:before="0" w:after="0"/>
              <w:ind w:hanging="0" w:left="454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bidi w:val="0"/>
              <w:spacing w:before="0" w:after="0"/>
              <w:ind w:hanging="0" w:left="510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>
            <w:pPr>
              <w:pStyle w:val="Normal"/>
              <w:widowControl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bidi w:val="0"/>
              <w:spacing w:before="0" w:after="0"/>
              <w:ind w:firstLine="1134" w:left="567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bidi w:val="0"/>
              <w:spacing w:before="0" w:after="0"/>
              <w:ind w:hanging="0" w:left="510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bidi w:val="0"/>
              <w:spacing w:before="0" w:after="0"/>
              <w:ind w:hanging="0" w:left="510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МСП и самозанятых, получивших образовательную, информационную и консультационную поддержку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spacing w:lineRule="auto" w:line="240" w:before="285" w:after="285"/>
              <w:ind w:hanging="0" w:left="0"/>
              <w:jc w:val="left"/>
              <w:rPr/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60" w:leader="none"/>
                <w:tab w:val="left" w:pos="993" w:leader="none"/>
              </w:tabs>
              <w:suppressAutoHyphens w:val="true"/>
              <w:bidi w:val="0"/>
              <w:spacing w:before="285" w:after="285"/>
              <w:ind w:hanging="0" w:left="0" w:right="-141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60" w:leader="none"/>
                <w:tab w:val="left" w:pos="993" w:leader="none"/>
              </w:tabs>
              <w:suppressAutoHyphens w:val="true"/>
              <w:bidi w:val="0"/>
              <w:spacing w:before="285" w:after="285"/>
              <w:ind w:hanging="0" w:left="0" w:right="-141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960" w:leader="none"/>
                <w:tab w:val="left" w:pos="993" w:leader="none"/>
              </w:tabs>
              <w:suppressAutoHyphens w:val="true"/>
              <w:bidi w:val="0"/>
              <w:spacing w:before="285" w:after="285"/>
              <w:ind w:hanging="0" w:left="0" w:right="-141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размещенных в сети Интернет актуальных информационных материалов для субъектов малого и среднего предпринимательства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  <w:tbl>
            <w:tblPr>
              <w:tblW w:w="16405" w:type="dxa"/>
              <w:jc w:val="left"/>
              <w:tblInd w:w="0" w:type="dxa"/>
              <w:tblLayout w:type="fixed"/>
              <w:tblCellMar>
                <w:top w:w="0" w:type="dxa"/>
                <w:left w:w="75" w:type="dxa"/>
                <w:bottom w:w="0" w:type="dxa"/>
                <w:right w:w="75" w:type="dxa"/>
              </w:tblCellMar>
            </w:tblPr>
            <w:tblGrid>
              <w:gridCol w:w="16405"/>
            </w:tblGrid>
            <w:tr>
              <w:trPr/>
              <w:tc>
                <w:tcPr>
                  <w:tcW w:w="16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414" w:leader="none"/>
                      <w:tab w:val="left" w:pos="993" w:leader="none"/>
                    </w:tabs>
                    <w:ind w:left="399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spacing w:before="228" w:after="228"/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spacing w:before="228" w:after="228"/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4" w:leader="none"/>
                <w:tab w:val="left" w:pos="993" w:leader="none"/>
              </w:tabs>
              <w:spacing w:before="228" w:after="228"/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right"/>
        <w:outlineLvl w:val="0"/>
        <w:rPr/>
      </w:pPr>
      <w:r>
        <w:rPr/>
        <w:t>11</w:t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74" w:leader="none"/>
        </w:tabs>
        <w:ind w:hanging="0" w:left="0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74" w:leader="none"/>
        </w:tabs>
        <w:ind w:hanging="0" w:left="0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Увеличение значения показателя (прямой показатель); ˂ - уменьшение значения показателя (обратный показатель); 0 – без изменений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hanging="0" w:left="0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˂2˃ Для прямого показателя, а также для показателя, необходимое направление изменений значения которого «0», значение графы 11 рассчитывается по формуле: (гр.10/гр.6х100) – 100.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firstLine="709" w:left="0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firstLine="709" w:left="0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firstLine="709" w:left="0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3 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Информация о порядке расчета значений целевых индикаторов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center"/>
        <w:rPr>
          <w:b/>
        </w:rPr>
      </w:pPr>
      <w:r>
        <w:rPr>
          <w:b/>
        </w:rPr>
      </w:r>
    </w:p>
    <w:tbl>
      <w:tblPr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207"/>
        <w:gridCol w:w="1706"/>
        <w:gridCol w:w="2879"/>
        <w:gridCol w:w="2075"/>
      </w:tblGrid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ab/>
              <w:tab/>
              <w:t>№ п/п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>Наименование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>показателя (индикатора)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Ед.изм.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 xml:space="preserve">Методика расчета целевого показателя (индикатора) </w:t>
            </w:r>
            <w:r>
              <w:rPr/>
              <w:t>˂1˃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>Источник полученных данных</w:t>
            </w:r>
          </w:p>
        </w:tc>
      </w:tr>
      <w:tr>
        <w:trPr>
          <w:trHeight w:val="1299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субъектов малого и среднего предпринимательства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ед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отчетность</w:t>
            </w:r>
          </w:p>
        </w:tc>
      </w:tr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СМП, получивших субсидии, в связи с осуществлением регулярных перевозок пассажиров и багажа автомобильным транспортом по муниципальным маршрутам на территории Северо-Байкальского района в условиях сокращения пассажиропотока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ед.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отчетность</w:t>
            </w:r>
          </w:p>
        </w:tc>
      </w:tr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Координационного совета по развитию МСП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ед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отчетность</w:t>
            </w:r>
          </w:p>
        </w:tc>
      </w:tr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4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молодежи, вовлеченной в предпринимательскую деятельность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ед.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отчетность</w:t>
            </w:r>
          </w:p>
        </w:tc>
      </w:tr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</w:t>
            </w:r>
            <w:r>
              <w:rPr/>
              <w:t>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МСП и самозанятых, получивших образовательную, информационную и консультационную поддержку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ед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отчетность</w:t>
            </w:r>
          </w:p>
        </w:tc>
      </w:tr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размещенных в сети Интернет актуальных информационных материалов для субъектов малого и среднего предпринимательства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ед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284" w:leader="none"/>
                <w:tab w:val="left" w:pos="851" w:leader="none"/>
              </w:tabs>
              <w:ind w:firstLine="567"/>
              <w:jc w:val="right"/>
              <w:rPr/>
            </w:pPr>
            <w:r>
              <w:rPr/>
              <w:t>отчетность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Таблица 4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Перечень мероприятий программы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73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351"/>
        <w:gridCol w:w="796"/>
        <w:gridCol w:w="955"/>
        <w:gridCol w:w="958"/>
        <w:gridCol w:w="1015"/>
        <w:gridCol w:w="494"/>
        <w:gridCol w:w="600"/>
        <w:gridCol w:w="494"/>
        <w:gridCol w:w="505"/>
        <w:gridCol w:w="494"/>
        <w:gridCol w:w="508"/>
        <w:gridCol w:w="647"/>
        <w:gridCol w:w="667"/>
        <w:gridCol w:w="677"/>
        <w:gridCol w:w="401"/>
        <w:gridCol w:w="475"/>
        <w:gridCol w:w="1080"/>
        <w:gridCol w:w="1561"/>
      </w:tblGrid>
      <w:tr>
        <w:trPr/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№ </w:t>
            </w:r>
            <w:r>
              <w:rPr>
                <w:rFonts w:cs="Calibri"/>
                <w:color w:val="000000"/>
                <w:sz w:val="20"/>
                <w:szCs w:val="20"/>
              </w:rPr>
              <w:t>п/п/№ мероприятия в бюджете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Ожидаемый социально-экономический эффект </w:t>
            </w:r>
            <w:r>
              <w:rPr>
                <w:color w:val="000000"/>
                <w:sz w:val="20"/>
                <w:szCs w:val="20"/>
              </w:rPr>
              <w:t>˂1˃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Период реализации программы, подпрограммы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Источник</w:t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4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Финансовые показатели, тыс. руб.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Итого:</w:t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⅀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граф 7,9,10,11,12</w:t>
            </w:r>
          </w:p>
        </w:tc>
      </w:tr>
      <w:tr>
        <w:trPr/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 2022</w:t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˂2˃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4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˂3˃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Утверждено в бюджете ˂3˃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Утверждено в бюджете ˂3</w:t>
            </w:r>
            <w:r>
              <w:rPr/>
              <w:t>˃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264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</w:tr>
      <w:tr>
        <w:trPr/>
        <w:tc>
          <w:tcPr>
            <w:tcW w:w="12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  <w:sz w:val="20"/>
                <w:szCs w:val="20"/>
                <w:shd w:fill="FF0000" w:val="clear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программа «Поддержка и развитие малого и среднего предпринимательства  муниципального образования «Северо-Байкальский район»»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  <w:sz w:val="20"/>
                <w:szCs w:val="20"/>
                <w:shd w:fill="FF0000" w:val="clear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fill="FF0000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  <w:sz w:val="20"/>
                <w:szCs w:val="20"/>
                <w:shd w:fill="FF0000" w:val="clear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fill="FF0000" w:val="clear"/>
              </w:rPr>
            </w:r>
          </w:p>
        </w:tc>
      </w:tr>
      <w:tr>
        <w:trPr>
          <w:trHeight w:val="86" w:hRule="atLeast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5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Основные мероприятия подпрограммы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  <w:sz w:val="20"/>
                <w:szCs w:val="20"/>
                <w:u w:val="single"/>
              </w:rPr>
              <w:t>Мероприятие 1.1</w:t>
            </w:r>
          </w:p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Финансовая поддержка организаций инфраструктуры поддержки субъектов малого предпринимательства</w:t>
            </w:r>
          </w:p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1,2,3,4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401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401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1350,0</w:t>
            </w:r>
          </w:p>
        </w:tc>
      </w:tr>
      <w:tr>
        <w:trPr>
          <w:trHeight w:val="390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 по мероприятию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1350,</w:t>
            </w: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Мероприятие 1.2</w:t>
            </w:r>
          </w:p>
          <w:p>
            <w:pPr>
              <w:pStyle w:val="Normal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Финансовая поддержка  молодежного предпринимательства</w:t>
            </w:r>
          </w:p>
          <w:p>
            <w:pPr>
              <w:pStyle w:val="Normal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73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76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 по мероприятию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Мероприятие 1.3</w:t>
            </w:r>
          </w:p>
          <w:p>
            <w:pPr>
              <w:pStyle w:val="Normal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Информационно-консультационная поддержка субъектов малого предпринимательства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2,4,5,6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56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556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 по мероприятию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576" w:hRule="atLeast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cs="Calibri"/>
                <w:sz w:val="20"/>
                <w:szCs w:val="20"/>
                <w:u w:val="single"/>
              </w:rPr>
              <w:t>Мероприятие 1.4</w:t>
            </w:r>
          </w:p>
          <w:p>
            <w:pPr>
              <w:pStyle w:val="Normal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Субсидия на возмещение перевозчикам части недополученных доходов, возникающих в процессе перевозки пассажиров и багажа  на муниципальных маршрутах автомобильного транспорта  в условиях внешнего санкционного давления в период с 15 апреля 2022 года по 15 июля 2022 года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349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</w:tr>
      <w:tr>
        <w:trPr>
          <w:trHeight w:val="663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12,5</w:t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12,5</w:t>
            </w:r>
          </w:p>
        </w:tc>
      </w:tr>
      <w:tr>
        <w:trPr>
          <w:trHeight w:val="504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 по мероприятию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416,0,0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416</w:t>
            </w:r>
            <w:r>
              <w:rPr>
                <w:rFonts w:cs="Calibri"/>
                <w:color w:val="000000"/>
                <w:sz w:val="20"/>
                <w:szCs w:val="20"/>
              </w:rPr>
              <w:t>,0</w:t>
            </w:r>
          </w:p>
        </w:tc>
      </w:tr>
      <w:tr>
        <w:trPr>
          <w:trHeight w:val="345" w:hRule="atLeast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итого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</w:tr>
      <w:tr>
        <w:trPr>
          <w:trHeight w:val="332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762,5</w:t>
            </w:r>
          </w:p>
        </w:tc>
      </w:tr>
      <w:tr>
        <w:trPr>
          <w:trHeight w:val="296" w:hRule="atLeast"/>
        </w:trPr>
        <w:tc>
          <w:tcPr>
            <w:tcW w:w="1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1166,00</w:t>
            </w:r>
          </w:p>
        </w:tc>
      </w:tr>
    </w:tbl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/>
        <w:tab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  <w:tab w:val="left" w:pos="8895" w:leader="none"/>
        </w:tabs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5 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firstLine="709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Ресурсное обеспечение программы </w:t>
      </w:r>
    </w:p>
    <w:p>
      <w:pPr>
        <w:pStyle w:val="Normal"/>
        <w:ind w:firstLine="709"/>
        <w:jc w:val="center"/>
        <w:rPr>
          <w:b/>
          <w:color w:val="000000"/>
        </w:rPr>
      </w:pPr>
      <w:r>
        <w:rPr>
          <w:b/>
          <w:color w:val="000000"/>
        </w:rPr>
      </w:r>
    </w:p>
    <w:tbl>
      <w:tblPr>
        <w:tblW w:w="1573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369"/>
        <w:gridCol w:w="1325"/>
        <w:gridCol w:w="1024"/>
        <w:gridCol w:w="1026"/>
        <w:gridCol w:w="1412"/>
        <w:gridCol w:w="733"/>
        <w:gridCol w:w="865"/>
        <w:gridCol w:w="611"/>
        <w:gridCol w:w="717"/>
        <w:gridCol w:w="645"/>
        <w:gridCol w:w="778"/>
        <w:gridCol w:w="733"/>
        <w:gridCol w:w="790"/>
        <w:gridCol w:w="697"/>
        <w:gridCol w:w="2592"/>
      </w:tblGrid>
      <w:tr>
        <w:trPr/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№ </w:t>
            </w:r>
            <w:r>
              <w:rPr>
                <w:rFonts w:cs="Calibri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Ожидаемый социально-экономический эффект </w:t>
            </w:r>
            <w:r>
              <w:rPr>
                <w:color w:val="000000"/>
                <w:sz w:val="20"/>
                <w:szCs w:val="20"/>
              </w:rPr>
              <w:t>˂1˃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Период реализации программы, подпрограммы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Источник</w:t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5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Финансовые показатели, тыс. руб.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2022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(N)</w:t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˂2˃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Итого:</w:t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⅀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граф 7,9,10,11,12</w:t>
            </w:r>
          </w:p>
        </w:tc>
      </w:tr>
      <w:tr>
        <w:trPr/>
        <w:tc>
          <w:tcPr>
            <w:tcW w:w="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˂3˃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Утверждено в бюджете ˂3˃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2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9" w:hRule="atLeast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Итого по программе: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1-6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766,0,0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766,0,0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1166,0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762,5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</w:tbl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˂1˃ В графе 3 указываются ссылки на разделы 4 программы (номер показателя результативности, на достижение целевого значение которого влияет данное мероприятие. 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˂2˃ </w:t>
      </w:r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</w:rPr>
        <w:t xml:space="preserve"> – первый год действия программы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09" w:left="0"/>
        <w:jc w:val="right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firstLine="709" w:left="0"/>
        <w:jc w:val="right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firstLine="709" w:left="0"/>
        <w:jc w:val="right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firstLine="709" w:left="0"/>
        <w:jc w:val="right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firstLine="709" w:left="0"/>
        <w:jc w:val="right"/>
        <w:outlineLvl w:val="0"/>
        <w:rPr>
          <w:color w:val="000000"/>
        </w:rPr>
      </w:pPr>
      <w:r>
        <w:rPr>
          <w:color w:val="000000"/>
        </w:rPr>
        <w:t xml:space="preserve">Таблица  6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color w:val="000000"/>
        </w:rPr>
      </w:pPr>
      <w:r>
        <w:rPr>
          <w:color w:val="000000"/>
        </w:rPr>
        <w:t>Сравнительная таблица целевых показателей на текущий период</w:t>
      </w:r>
    </w:p>
    <w:tbl>
      <w:tblPr>
        <w:tblW w:w="14743" w:type="dxa"/>
        <w:jc w:val="left"/>
        <w:tblInd w:w="-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709"/>
        <w:gridCol w:w="5235"/>
        <w:gridCol w:w="426"/>
        <w:gridCol w:w="4688"/>
        <w:gridCol w:w="3685"/>
      </w:tblGrid>
      <w:tr>
        <w:trPr>
          <w:trHeight w:val="118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 w:cs="Times New Roman"/>
                <w:w w:val="101"/>
                <w:kern w:val="0"/>
                <w:sz w:val="20"/>
                <w:szCs w:val="20"/>
                <w:lang w:val="en-US" w:eastAsia="en-US" w:bidi="ar-SA"/>
              </w:rPr>
              <w:t>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 w:cs="Times New Roman"/>
                <w:kern w:val="0"/>
                <w:sz w:val="20"/>
                <w:szCs w:val="20"/>
                <w:lang w:val="en-US" w:eastAsia="en-US" w:bidi="ar-SA"/>
              </w:rPr>
              <w:t>п/п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 w:cs="Times New Roman"/>
                <w:kern w:val="0"/>
                <w:sz w:val="20"/>
                <w:szCs w:val="20"/>
                <w:lang w:val="en-US" w:eastAsia="en-US" w:bidi="ar-SA"/>
              </w:rPr>
              <w:t>Наименование показателя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 w:cs="Times New Roman"/>
                <w:kern w:val="0"/>
                <w:sz w:val="20"/>
                <w:szCs w:val="20"/>
                <w:lang w:val="en-US" w:eastAsia="en-US" w:bidi="ar-SA"/>
              </w:rPr>
              <w:t>Ед. Изм.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 w:cs="Times New Roman"/>
                <w:kern w:val="0"/>
                <w:sz w:val="20"/>
                <w:szCs w:val="20"/>
                <w:lang w:val="en-US" w:eastAsia="en-US" w:bidi="ar-SA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 w:cs="Times New Roman"/>
                <w:kern w:val="0"/>
                <w:sz w:val="20"/>
                <w:szCs w:val="20"/>
                <w:lang w:val="en-US" w:eastAsia="en-US" w:bidi="ar-SA"/>
              </w:rPr>
              <w:t>(раздел 4)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suppressAutoHyphens w:val="true"/>
              <w:spacing w:before="0" w:after="0"/>
              <w:ind w:left="140" w:right="27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 w:cs="Times New Roman"/>
                <w:kern w:val="0"/>
                <w:sz w:val="20"/>
                <w:szCs w:val="20"/>
                <w:lang w:val="en-US" w:eastAsia="en-US" w:bidi="ar-SA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7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en-US" w:bidi="ar-SA"/>
              </w:rPr>
              <w:t>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en-US" w:bidi="ar-SA"/>
              </w:rPr>
              <w:t>3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en-US" w:bidi="ar-SA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en-US" w:bidi="ar-SA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Цель: Содействие развитию малого и среднего предпринимательства, самозанятых граждан, а так же формирование инвестиционного климата  и повышение инвестиционной привлекательности МО «Северо-Байкальский  район».</w:t>
            </w:r>
          </w:p>
        </w:tc>
      </w:tr>
      <w:tr>
        <w:trPr>
          <w:trHeight w:val="220" w:hRule="atLeast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Задача 1: </w:t>
            </w:r>
            <w:r>
              <w:rPr>
                <w:rFonts w:cs="Times New Roman"/>
                <w:kern w:val="0"/>
                <w:sz w:val="20"/>
                <w:szCs w:val="20"/>
                <w:lang w:val="en-US" w:eastAsia="en-US" w:bidi="ar-SA"/>
              </w:rPr>
              <w:t>Создание условий для развития малого и среднего предпринимательства, оказание финансовой поддержки и популяризация предпринимательской деятельности</w:t>
            </w:r>
          </w:p>
        </w:tc>
      </w:tr>
      <w:tr>
        <w:trPr>
          <w:trHeight w:val="220" w:hRule="atLeast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</w:r>
          </w:p>
        </w:tc>
      </w:tr>
      <w:tr>
        <w:trPr>
          <w:trHeight w:val="61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 w:cs="Times New Roman"/>
                <w:kern w:val="0"/>
                <w:lang w:val="en-US" w:eastAsia="en-US" w:bidi="ar-SA"/>
              </w:rPr>
              <w:t>1.1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количество зарегистрированных субъектов малого и среднего предпринимательства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en-US" w:eastAsia="en-US" w:bidi="ar-SA"/>
              </w:rPr>
              <w:t>ед.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252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266</w:t>
            </w:r>
          </w:p>
        </w:tc>
      </w:tr>
      <w:tr>
        <w:trPr>
          <w:trHeight w:val="2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 w:cs="Times New Roman"/>
                <w:kern w:val="0"/>
                <w:lang w:val="en-US" w:eastAsia="en-US" w:bidi="ar-SA"/>
              </w:rPr>
              <w:t>1.2.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 xml:space="preserve">Количество СМП, получивших </w:t>
            </w:r>
            <w:r>
              <w:rPr>
                <w:rFonts w:cs="Times New Roman"/>
                <w:kern w:val="0"/>
                <w:lang w:val="en-US" w:eastAsia="en-US" w:bidi="ar-SA"/>
              </w:rPr>
              <w:t>субсидии, в связи с осуществлением регулярных перевозок пассажиров и багажа автомобильным транспортом по муниципальным маршрутам на территории Северо-Байкальского района в условиях сокращения пассажиропотока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en-US" w:eastAsia="en-US" w:bidi="ar-SA"/>
              </w:rPr>
              <w:t>ед.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 w:cs="Times New Roman"/>
                <w:kern w:val="0"/>
                <w:lang w:val="en-US" w:eastAsia="en-US" w:bidi="ar-SA"/>
              </w:rPr>
              <w:t>1.3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количество проведенных заседаний Координационного совета по развитию МСП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en-US" w:eastAsia="en-US" w:bidi="ar-SA"/>
              </w:rPr>
              <w:t>ед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 w:cs="Times New Roman"/>
                <w:kern w:val="0"/>
                <w:lang w:val="en-US" w:eastAsia="en-US" w:bidi="ar-SA"/>
              </w:rPr>
              <w:t>1.4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количество молодежи, вовлеченной в предпринимательскую деятельность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en-US" w:eastAsia="en-US" w:bidi="ar-SA"/>
              </w:rPr>
              <w:t>ед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</w:tr>
      <w:tr>
        <w:trPr>
          <w:trHeight w:val="2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 w:cs="Times New Roman"/>
                <w:kern w:val="0"/>
                <w:lang w:val="en-US" w:eastAsia="en-US" w:bidi="ar-SA"/>
              </w:rPr>
              <w:t>1.5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Количество субъектов МСП и самозанятых, получивших образовательную , информационную и консультационную поддержку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en-US" w:eastAsia="en-US" w:bidi="ar-SA"/>
              </w:rPr>
              <w:t>ед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20</w:t>
            </w:r>
          </w:p>
        </w:tc>
      </w:tr>
      <w:tr>
        <w:trPr>
          <w:trHeight w:val="2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 w:cs="Times New Roman"/>
                <w:kern w:val="0"/>
                <w:lang w:val="en-US" w:eastAsia="en-US" w:bidi="ar-SA"/>
              </w:rPr>
              <w:t>1.6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rFonts w:cs="Times New Roman"/>
                <w:bCs/>
                <w:kern w:val="0"/>
                <w:lang w:val="en-US" w:eastAsia="en-US" w:bidi="ar-SA"/>
              </w:rPr>
              <w:t>Количество размещенных в сети Интернет актуальных информационных материалов для субъектов малого и среднего предпринимательства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en-US" w:eastAsia="en-US" w:bidi="ar-SA"/>
              </w:rPr>
              <w:t>ед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4" w:leader="none"/>
                <w:tab w:val="left" w:pos="993" w:leader="none"/>
              </w:tabs>
              <w:suppressAutoHyphens w:val="true"/>
              <w:spacing w:before="0" w:after="0"/>
              <w:ind w:left="399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57" w:right="57"/>
              <w:jc w:val="left"/>
              <w:rPr>
                <w:rFonts w:eastAsia="Arial"/>
                <w:sz w:val="20"/>
                <w:szCs w:val="20"/>
              </w:rPr>
            </w:pPr>
            <w:r>
              <w:rPr>
                <w:rFonts w:eastAsia="Arial" w:cs="Times New Roman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>
              <w:rPr>
                <w:rFonts w:eastAsia="Arial" w:cs="Times New Roman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</w:tr>
    </w:tbl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931" w:leader="none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2931" w:leader="none"/>
        </w:tabs>
        <w:ind w:hang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7 </w:t>
      </w:r>
    </w:p>
    <w:p>
      <w:pPr>
        <w:pStyle w:val="Normal"/>
        <w:tabs>
          <w:tab w:val="clear" w:pos="708"/>
          <w:tab w:val="left" w:pos="2931" w:leader="none"/>
        </w:tabs>
        <w:ind w:firstLine="70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Основные меры правового регулирования</w:t>
      </w:r>
    </w:p>
    <w:tbl>
      <w:tblPr>
        <w:tblW w:w="9750" w:type="dxa"/>
        <w:jc w:val="left"/>
        <w:tblInd w:w="27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90"/>
        <w:gridCol w:w="2511"/>
        <w:gridCol w:w="2392"/>
      </w:tblGrid>
      <w:tr>
        <w:trPr/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/>
            </w:pPr>
            <w:r>
              <w:rPr/>
              <w:t>Вид нормативно-правового акта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/>
            </w:pPr>
            <w:r>
              <w:rPr/>
              <w:t>Основные положения нормативно-правового акта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/>
            </w:pPr>
            <w:r>
              <w:rPr/>
              <w:t>Ответственный исполнитель</w:t>
            </w:r>
          </w:p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/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/>
            </w:pPr>
            <w:r>
              <w:rPr/>
              <w:t>Ожидаемые сроки принятия</w:t>
            </w:r>
          </w:p>
        </w:tc>
      </w:tr>
      <w:tr>
        <w:trPr/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31" w:leader="none"/>
              </w:tabs>
              <w:jc w:val="right"/>
              <w:rPr/>
            </w:pPr>
            <w:r>
              <w:rPr/>
              <w:t>НПА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малого и среднего предпринимательства</w:t>
            </w:r>
          </w:p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>
                <w:b/>
              </w:rPr>
            </w:pPr>
            <w:r>
              <w:rPr/>
              <w:t>в Северо-Байкальском районе .»</w:t>
            </w:r>
          </w:p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/>
            </w:pPr>
            <w:r>
              <w:rPr/>
              <w:t>Перечень мероприятий программы на очередной год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/>
            </w:pPr>
            <w:r>
              <w:rPr/>
              <w:t xml:space="preserve"> </w:t>
            </w:r>
            <w:r>
              <w:rPr/>
              <w:t>«Отдел экономики администрации МО «Северо-Байкальский район»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931" w:leader="none"/>
              </w:tabs>
              <w:ind w:firstLine="709"/>
              <w:jc w:val="right"/>
              <w:rPr/>
            </w:pPr>
            <w:r>
              <w:rPr/>
              <w:t>Ежегодно до 30 декабря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284" w:leader="none"/>
          <w:tab w:val="left" w:pos="851" w:leader="none"/>
        </w:tabs>
        <w:ind w:firstLine="567"/>
        <w:rPr/>
      </w:pPr>
      <w:r>
        <w:rPr/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567" w:gutter="0" w:header="0" w:top="567" w:footer="567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styleId="DefaultParagraphFont">
    <w:name w:val="Default Paragraph Font"/>
    <w:qFormat/>
    <w:rPr/>
  </w:style>
  <w:style w:type="character" w:styleId="3">
    <w:name w:val="Заголовок 3 Знак"/>
    <w:qFormat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styleId="Style12">
    <w:name w:val="Заголовок Знак"/>
    <w:qFormat/>
    <w:rPr>
      <w:rFonts w:ascii="Times New Roman" w:hAnsi="Times New Roman" w:eastAsia="Times New Roman"/>
      <w:sz w:val="32"/>
      <w:szCs w:val="20"/>
    </w:rPr>
  </w:style>
  <w:style w:type="character" w:styleId="apple-converted-space">
    <w:name w:val="apple-converted-space"/>
    <w:qFormat/>
    <w:rPr/>
  </w:style>
  <w:style w:type="character" w:styleId="Style13">
    <w:name w:val="Текст выноски Знак"/>
    <w:link w:val="BalloonText"/>
    <w:qFormat/>
    <w:rPr>
      <w:rFonts w:ascii="Segoe UI" w:hAnsi="Segoe UI" w:eastAsia="Times New Roman" w:cs="Segoe UI"/>
      <w:sz w:val="18"/>
      <w:szCs w:val="18"/>
    </w:rPr>
  </w:style>
  <w:style w:type="character" w:styleId="1">
    <w:name w:val="Заголовок 1 Знак"/>
    <w:qFormat/>
    <w:rPr>
      <w:rFonts w:ascii="Times New Roman" w:hAnsi="Times New Roman" w:eastAsia="Times New Roman"/>
      <w:b/>
      <w:sz w:val="28"/>
    </w:rPr>
  </w:style>
  <w:style w:type="character" w:styleId="Style14">
    <w:name w:val="Название Знак"/>
    <w:link w:val="11"/>
    <w:qFormat/>
    <w:rPr>
      <w:rFonts w:ascii="Times New Roman" w:hAnsi="Times New Roman" w:eastAsia="Times New Roman" w:cs="Times New Roman"/>
      <w:b/>
      <w:sz w:val="28"/>
      <w:szCs w:val="20"/>
      <w:u w:val="single"/>
      <w:lang w:eastAsia="ru-RU"/>
    </w:rPr>
  </w:style>
  <w:style w:type="character" w:styleId="Style15">
    <w:name w:val="Основной текст с отступом Знак"/>
    <w:qFormat/>
    <w:rPr>
      <w:rFonts w:ascii="Times New Roman" w:hAnsi="Times New Roman" w:eastAsia="Times New Roman"/>
      <w:sz w:val="24"/>
      <w:szCs w:val="24"/>
      <w:lang w:val="x-none" w:eastAsia="ar-SA"/>
    </w:rPr>
  </w:style>
  <w:style w:type="character" w:styleId="Style16">
    <w:name w:val="Основной текст Знак"/>
    <w:qFormat/>
    <w:rPr>
      <w:rFonts w:ascii="Times New Roman" w:hAnsi="Times New Roman" w:eastAsia="Times New Roman"/>
      <w:sz w:val="28"/>
    </w:rPr>
  </w:style>
  <w:style w:type="character" w:styleId="Style17">
    <w:name w:val="Нижний колонтитул Знак"/>
    <w:qFormat/>
    <w:rPr>
      <w:rFonts w:ascii="Times New Roman" w:hAnsi="Times New Roman" w:eastAsia="Times New Roman"/>
      <w:sz w:val="24"/>
      <w:szCs w:val="24"/>
      <w:lang w:eastAsia="ar-SA"/>
    </w:rPr>
  </w:style>
  <w:style w:type="character" w:styleId="31">
    <w:name w:val="Основной текст 3 Знак"/>
    <w:link w:val="BodyText3"/>
    <w:qFormat/>
    <w:rPr>
      <w:rFonts w:ascii="Times New Roman" w:hAnsi="Times New Roman" w:eastAsia="Times New Roman"/>
      <w:sz w:val="16"/>
      <w:szCs w:val="16"/>
      <w:lang w:val="x-none" w:eastAsia="x-none"/>
    </w:rPr>
  </w:style>
  <w:style w:type="character" w:styleId="hl">
    <w:name w:val="hl"/>
    <w:qFormat/>
    <w:rPr/>
  </w:style>
  <w:style w:type="character" w:styleId="PageNumber">
    <w:name w:val="page number"/>
    <w:qFormat/>
    <w:rPr/>
  </w:style>
  <w:style w:type="character" w:styleId="FontStyle87">
    <w:name w:val="Font Style87"/>
    <w:qFormat/>
    <w:rPr>
      <w:rFonts w:ascii="Times New Roman" w:hAnsi="Times New Roman" w:cs="Times New Roman"/>
      <w:sz w:val="26"/>
      <w:szCs w:val="26"/>
    </w:rPr>
  </w:style>
  <w:style w:type="character" w:styleId="Style18">
    <w:name w:val="Верх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12">
    <w:name w:val="Основной текст (1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ConsPlusNormal">
    <w:name w:val="ConsPlusNormal Знак"/>
    <w:link w:val="ConsPlusNormal1"/>
    <w:qFormat/>
    <w:rPr>
      <w:rFonts w:ascii="Times New Roman" w:hAnsi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19">
    <w:name w:val="Текст примечания Знак"/>
    <w:basedOn w:val="DefaultParagraphFont"/>
    <w:qFormat/>
    <w:rPr>
      <w:rFonts w:ascii="Times New Roman" w:hAnsi="Times New Roman" w:eastAsia="Times New Roman"/>
    </w:rPr>
  </w:style>
  <w:style w:type="character" w:styleId="Style20">
    <w:name w:val="Тема примечания Знак"/>
    <w:basedOn w:val="Style19"/>
    <w:link w:val="annotationsubject"/>
    <w:qFormat/>
    <w:rPr>
      <w:rFonts w:ascii="Times New Roman" w:hAnsi="Times New Roman" w:eastAsia="Times New Roman"/>
      <w:b/>
      <w:bCs/>
    </w:rPr>
  </w:style>
  <w:style w:type="character" w:styleId="Style21">
    <w:name w:val="Абзац списка Знак"/>
    <w:link w:val="ListParagraph"/>
    <w:qFormat/>
    <w:rPr>
      <w:rFonts w:cs="Calibri"/>
      <w:sz w:val="22"/>
      <w:szCs w:val="22"/>
      <w:lang w:eastAsia="en-US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rFonts w:cs="Times New Roman"/>
      <w:b/>
      <w:b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pPr>
      <w:spacing w:before="0" w:after="120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link w:val="Style12"/>
    <w:qFormat/>
    <w:pPr>
      <w:jc w:val="center"/>
    </w:pPr>
    <w:rPr>
      <w:sz w:val="32"/>
      <w:szCs w:val="20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link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11">
    <w:name w:val="1"/>
    <w:basedOn w:val="Normal"/>
    <w:next w:val="Title"/>
    <w:link w:val="Style14"/>
    <w:qFormat/>
    <w:pPr>
      <w:jc w:val="center"/>
    </w:pPr>
    <w:rPr>
      <w:b/>
      <w:sz w:val="28"/>
      <w:szCs w:val="20"/>
      <w:u w:val="single"/>
    </w:rPr>
  </w:style>
  <w:style w:type="paragraph" w:styleId="13">
    <w:name w:val="Знак Знак1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21"/>
    <w:qFormat/>
    <w:pPr>
      <w:spacing w:lineRule="auto" w:line="276" w:before="0" w:after="200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Style15"/>
    <w:pPr>
      <w:spacing w:before="0" w:after="120"/>
      <w:ind w:left="283"/>
    </w:pPr>
    <w:rPr>
      <w:lang w:val="x-none" w:eastAsia="ar-SA"/>
    </w:rPr>
  </w:style>
  <w:style w:type="paragraph" w:styleId="Postan">
    <w:name w:val="Postan"/>
    <w:basedOn w:val="Normal"/>
    <w:qFormat/>
    <w:pPr>
      <w:jc w:val="center"/>
    </w:pPr>
    <w:rPr>
      <w:sz w:val="28"/>
      <w:szCs w:val="28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14">
    <w:name w:val="Обычный1"/>
    <w:qFormat/>
    <w:pPr>
      <w:widowControl w:val="false"/>
      <w:suppressAutoHyphens w:val="true"/>
      <w:overflowPunct w:val="false"/>
      <w:bidi w:val="0"/>
      <w:spacing w:lineRule="auto" w:line="300" w:before="0" w:after="0"/>
      <w:ind w:firstLine="700"/>
      <w:jc w:val="both"/>
    </w:pPr>
    <w:rPr>
      <w:rFonts w:ascii="Times New Roman" w:hAnsi="Times New Roman" w:eastAsia="Arial" w:cs="Times New Roman"/>
      <w:color w:val="auto"/>
      <w:kern w:val="0"/>
      <w:sz w:val="22"/>
      <w:szCs w:val="20"/>
      <w:lang w:val="ru-RU" w:eastAsia="ar-SA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Style24">
    <w:name w:val="Колонтитул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Style25">
    <w:name w:val="Колонтитулы"/>
    <w:basedOn w:val="Normal"/>
    <w:qFormat/>
    <w:pPr/>
    <w:rPr/>
  </w:style>
  <w:style w:type="paragraph" w:styleId="Footer">
    <w:name w:val="footer"/>
    <w:basedOn w:val="Normal"/>
    <w:link w:val="Style17"/>
    <w:pPr>
      <w:tabs>
        <w:tab w:val="clear" w:pos="708"/>
        <w:tab w:val="center" w:pos="4677" w:leader="none"/>
        <w:tab w:val="right" w:pos="9355" w:leader="none"/>
      </w:tabs>
    </w:pPr>
    <w:rPr>
      <w:lang w:eastAsia="ar-SA"/>
    </w:rPr>
  </w:style>
  <w:style w:type="paragraph" w:styleId="32">
    <w:name w:val="Основной текст с отступом 32"/>
    <w:basedOn w:val="Normal"/>
    <w:qFormat/>
    <w:pPr>
      <w:spacing w:before="0" w:after="120"/>
      <w:ind w:left="283"/>
    </w:pPr>
    <w:rPr>
      <w:sz w:val="16"/>
      <w:szCs w:val="16"/>
      <w:lang w:eastAsia="ar-SA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sz w:val="16"/>
      <w:szCs w:val="16"/>
      <w:lang w:val="x-none" w:eastAsia="x-none"/>
    </w:rPr>
  </w:style>
  <w:style w:type="paragraph" w:styleId="Style26">
    <w:name w:val="Style2"/>
    <w:basedOn w:val="Normal"/>
    <w:qFormat/>
    <w:pPr>
      <w:widowControl w:val="false"/>
      <w:spacing w:lineRule="exact" w:line="322"/>
      <w:ind w:firstLine="523"/>
      <w:jc w:val="both"/>
    </w:pPr>
    <w:rPr/>
  </w:style>
  <w:style w:type="paragraph" w:styleId="Style51">
    <w:name w:val="Style5"/>
    <w:basedOn w:val="Normal"/>
    <w:qFormat/>
    <w:pPr>
      <w:widowControl w:val="false"/>
      <w:spacing w:lineRule="exact" w:line="360"/>
      <w:ind w:firstLine="706"/>
      <w:jc w:val="both"/>
    </w:pPr>
    <w:rPr/>
  </w:style>
  <w:style w:type="paragraph" w:styleId="Style131">
    <w:name w:val="Style13"/>
    <w:basedOn w:val="Normal"/>
    <w:qFormat/>
    <w:pPr>
      <w:widowControl w:val="false"/>
      <w:spacing w:lineRule="exact" w:line="322"/>
    </w:pPr>
    <w:rPr/>
  </w:style>
  <w:style w:type="paragraph" w:styleId="Header">
    <w:name w:val="header"/>
    <w:basedOn w:val="Normal"/>
    <w:link w:val="Style1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aption111">
    <w:name w:val="caption111"/>
    <w:basedOn w:val="Normal"/>
    <w:next w:val="Normal"/>
    <w:qFormat/>
    <w:pPr/>
    <w:rPr>
      <w:b/>
      <w:bCs/>
      <w:sz w:val="20"/>
      <w:szCs w:val="20"/>
    </w:rPr>
  </w:style>
  <w:style w:type="paragraph" w:styleId="CommentText">
    <w:name w:val="annotation text"/>
    <w:basedOn w:val="Normal"/>
    <w:link w:val="Style19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qFormat/>
    <w:pPr/>
    <w:rPr>
      <w:b/>
      <w:bCs/>
    </w:rPr>
  </w:style>
  <w:style w:type="paragraph" w:styleId="user4">
    <w:name w:val="Содержимое врезки (user)"/>
    <w:basedOn w:val="Normal"/>
    <w:qFormat/>
    <w:pPr/>
    <w:rPr/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Style27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8">
    <w:name w:val="Содержимое врезки"/>
    <w:basedOn w:val="Normal"/>
    <w:qFormat/>
    <w:pPr/>
    <w:rPr/>
  </w:style>
  <w:style w:type="numbering" w:styleId="user7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Application>LibreOffice/25.8.2.2$Windows_X86_64 LibreOffice_project/d401f2107ccab8f924a8e2df40f573aab7605b6f</Application>
  <AppVersion>15.0000</AppVersion>
  <Pages>15</Pages>
  <Words>3180</Words>
  <Characters>21452</Characters>
  <CharactersWithSpaces>24695</CharactersWithSpaces>
  <Paragraphs>874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2024-03-28T16:50:00Z</dcterms:created>
  <dc:creator>Андрей А. Мацнев</dc:creator>
  <dc:description/>
  <dc:language>ru-RU</dc:language>
  <cp:lastModifiedBy/>
  <cp:lastPrinted>2025-11-11T11:41:42Z</cp:lastPrinted>
  <dcterms:modified xsi:type="dcterms:W3CDTF">2025-11-11T11:45:01Z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